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9b06b9a401001127a80186642ba399e0ad40ad3"/>
      <w:r>
        <w:t xml:space="preserve">FDA BIMO Inspection Preparation - Internal Audit Program Deliverables</w:t>
      </w:r>
      <w:bookmarkEnd w:id="20"/>
    </w:p>
    <w:p>
      <w:pPr>
        <w:pStyle w:val="FirstParagraph"/>
      </w:pPr>
      <w:r>
        <w:rPr>
          <w:b/>
        </w:rPr>
        <w:t xml:space="preserve">Prepared for:</w:t>
      </w:r>
      <w:r>
        <w:t xml:space="preserve"> </w:t>
      </w:r>
      <w:r>
        <w:t xml:space="preserve">Pharmaceutical Sponsor Post-CSR Submission</w:t>
      </w:r>
      <w:r>
        <w:br/>
      </w:r>
      <w:r>
        <w:rPr>
          <w:b/>
        </w:rPr>
        <w:t xml:space="preserve">Prepared by:</w:t>
      </w:r>
      <w:r>
        <w:t xml:space="preserve"> </w:t>
      </w:r>
      <w:r>
        <w:t xml:space="preserve">Manus AI</w:t>
      </w:r>
      <w:r>
        <w:br/>
      </w:r>
      <w:r>
        <w:rPr>
          <w:b/>
        </w:rPr>
        <w:t xml:space="preserve">Date:</w:t>
      </w:r>
      <w:r>
        <w:t xml:space="preserve"> </w:t>
      </w:r>
      <w:r>
        <w:t xml:space="preserve">November 11, 2025</w:t>
      </w:r>
      <w:r>
        <w:br/>
      </w:r>
      <w:r>
        <w:rPr>
          <w:b/>
        </w:rPr>
        <w:t xml:space="preserve">Based on:</w:t>
      </w:r>
      <w:r>
        <w:t xml:space="preserve"> </w:t>
      </w:r>
      <w:r>
        <w:t xml:space="preserve">ICH E6(R3) (Final, January 2025) and FDA Compliance Program 7348.810</w:t>
      </w:r>
    </w:p>
    <w:p>
      <w:r>
        <w:pict>
          <v:rect style="width:0;height:1.5pt" o:hralign="center" o:hrstd="t" o:hr="t"/>
        </w:pict>
      </w:r>
    </w:p>
    <w:p>
      <w:pPr>
        <w:pStyle w:val="Heading2"/>
      </w:pPr>
      <w:bookmarkStart w:id="21" w:name="package-contents"/>
      <w:r>
        <w:t xml:space="preserve">Package Contents</w:t>
      </w:r>
      <w:bookmarkEnd w:id="21"/>
    </w:p>
    <w:p>
      <w:pPr>
        <w:pStyle w:val="FirstParagraph"/>
      </w:pPr>
      <w:r>
        <w:t xml:space="preserve">This comprehensive internal audit program package includes the following documents:</w:t>
      </w:r>
    </w:p>
    <w:p>
      <w:pPr>
        <w:pStyle w:val="Heading3"/>
      </w:pPr>
      <w:bookmarkStart w:id="22" w:name="audit_program_overview.md"/>
      <w:r>
        <w:t xml:space="preserve">1. AUDIT_PROGRAM_OVERVIEW.md</w:t>
      </w:r>
      <w:bookmarkEnd w:id="22"/>
    </w:p>
    <w:p>
      <w:pPr>
        <w:pStyle w:val="FirstParagraph"/>
      </w:pPr>
      <w:r>
        <w:rPr>
          <w:b/>
        </w:rPr>
        <w:t xml:space="preserve">Purpose:</w:t>
      </w:r>
      <w:r>
        <w:t xml:space="preserve"> </w:t>
      </w:r>
      <w:r>
        <w:t xml:space="preserve">Executive overview and implementation guidance</w:t>
      </w:r>
      <w:r>
        <w:br/>
      </w:r>
      <w:r>
        <w:rPr>
          <w:b/>
        </w:rPr>
        <w:t xml:space="preserve">Length:</w:t>
      </w:r>
      <w:r>
        <w:t xml:space="preserve"> </w:t>
      </w:r>
      <w:r>
        <w:t xml:space="preserve">~400 lines</w:t>
      </w:r>
      <w:r>
        <w:br/>
      </w:r>
      <w:r>
        <w:rPr>
          <w:b/>
        </w:rPr>
        <w:t xml:space="preserve">Contents:</w:t>
      </w:r>
      <w:r>
        <w:t xml:space="preserve"> </w:t>
      </w:r>
      <w:r>
        <w:t xml:space="preserve">- Executive overview and regulatory context</w:t>
      </w:r>
      <w:r>
        <w:t xml:space="preserve"> </w:t>
      </w:r>
      <w:r>
        <w:t xml:space="preserve">- Audit program objectives and scope</w:t>
      </w:r>
      <w:r>
        <w:t xml:space="preserve"> </w:t>
      </w:r>
      <w:r>
        <w:t xml:space="preserve">- Implementation timeline and team composition</w:t>
      </w:r>
      <w:r>
        <w:t xml:space="preserve"> </w:t>
      </w:r>
      <w:r>
        <w:t xml:space="preserve">- Audit methodology (document review, interviews, observations)</w:t>
      </w:r>
      <w:r>
        <w:t xml:space="preserve"> </w:t>
      </w:r>
      <w:r>
        <w:t xml:space="preserve">- Key focus areas for FDA inspections</w:t>
      </w:r>
      <w:r>
        <w:t xml:space="preserve"> </w:t>
      </w:r>
      <w:r>
        <w:t xml:space="preserve">- Best practices for audit execution</w:t>
      </w:r>
      <w:r>
        <w:t xml:space="preserve"> </w:t>
      </w:r>
      <w:r>
        <w:t xml:space="preserve">- Post-audit activities and CAPA development</w:t>
      </w:r>
      <w:r>
        <w:t xml:space="preserve"> </w:t>
      </w:r>
      <w:r>
        <w:t xml:space="preserve">- Inspection day preparation guidance</w:t>
      </w:r>
      <w:r>
        <w:t xml:space="preserve"> </w:t>
      </w:r>
      <w:r>
        <w:t xml:space="preserve">- Comprehensive regulatory references</w:t>
      </w:r>
    </w:p>
    <w:p>
      <w:pPr>
        <w:pStyle w:val="BodyText"/>
      </w:pPr>
      <w:r>
        <w:rPr>
          <w:b/>
        </w:rPr>
        <w:t xml:space="preserve">Use this document to:</w:t>
      </w:r>
      <w:r>
        <w:t xml:space="preserve"> </w:t>
      </w:r>
      <w:r>
        <w:t xml:space="preserve">Understand the audit program framework, assemble your audit team, plan the audit timeline, and prepare for FDA inspection.</w:t>
      </w:r>
    </w:p>
    <w:p>
      <w:r>
        <w:pict>
          <v:rect style="width:0;height:1.5pt" o:hralign="center" o:hrstd="t" o:hr="t"/>
        </w:pict>
      </w:r>
    </w:p>
    <w:p>
      <w:pPr>
        <w:pStyle w:val="Heading3"/>
      </w:pPr>
      <w:bookmarkStart w:id="23" w:name="final_sponsor_audit_checklist.md"/>
      <w:r>
        <w:t xml:space="preserve">2. FINAL_SPONSOR_AUDIT_CHECKLIST.md</w:t>
      </w:r>
      <w:bookmarkEnd w:id="23"/>
    </w:p>
    <w:p>
      <w:pPr>
        <w:pStyle w:val="FirstParagraph"/>
      </w:pPr>
      <w:r>
        <w:rPr>
          <w:b/>
        </w:rPr>
        <w:t xml:space="preserve">Purpose:</w:t>
      </w:r>
      <w:r>
        <w:t xml:space="preserve"> </w:t>
      </w:r>
      <w:r>
        <w:t xml:space="preserve">Comprehensive, actionable audit checklist</w:t>
      </w:r>
      <w:r>
        <w:br/>
      </w:r>
      <w:r>
        <w:rPr>
          <w:b/>
        </w:rPr>
        <w:t xml:space="preserve">Length:</w:t>
      </w:r>
      <w:r>
        <w:t xml:space="preserve"> </w:t>
      </w:r>
      <w:r>
        <w:t xml:space="preserve">979 lines</w:t>
      </w:r>
      <w:r>
        <w:br/>
      </w:r>
      <w:r>
        <w:rPr>
          <w:b/>
        </w:rPr>
        <w:t xml:space="preserve">Contents:</w:t>
      </w:r>
    </w:p>
    <w:p>
      <w:pPr>
        <w:pStyle w:val="Heading4"/>
      </w:pPr>
      <w:bookmarkStart w:id="24" w:name="executive-summary"/>
      <w:r>
        <w:t xml:space="preserve">Executive Summary</w:t>
      </w:r>
      <w:bookmarkEnd w:id="24"/>
    </w:p>
    <w:p>
      <w:pPr>
        <w:numPr>
          <w:ilvl w:val="0"/>
          <w:numId w:val="1001"/>
        </w:numPr>
        <w:pStyle w:val="Compact"/>
      </w:pPr>
      <w:r>
        <w:t xml:space="preserve">Purpose and scope</w:t>
      </w:r>
    </w:p>
    <w:p>
      <w:pPr>
        <w:numPr>
          <w:ilvl w:val="0"/>
          <w:numId w:val="1001"/>
        </w:numPr>
        <w:pStyle w:val="Compact"/>
      </w:pPr>
      <w:r>
        <w:t xml:space="preserve">Context and key focus areas</w:t>
      </w:r>
    </w:p>
    <w:p>
      <w:pPr>
        <w:numPr>
          <w:ilvl w:val="0"/>
          <w:numId w:val="1001"/>
        </w:numPr>
        <w:pStyle w:val="Compact"/>
      </w:pPr>
      <w:r>
        <w:t xml:space="preserve">How to use the checklist effectively</w:t>
      </w:r>
    </w:p>
    <w:p>
      <w:pPr>
        <w:numPr>
          <w:ilvl w:val="0"/>
          <w:numId w:val="1001"/>
        </w:numPr>
        <w:pStyle w:val="Compact"/>
      </w:pPr>
      <w:r>
        <w:t xml:space="preserve">Recommended timeline and team composition</w:t>
      </w:r>
    </w:p>
    <w:p>
      <w:pPr>
        <w:pStyle w:val="Heading4"/>
      </w:pPr>
      <w:bookmarkStart w:id="25" w:name="major-audit-sections"/>
      <w:r>
        <w:t xml:space="preserve">22 Major Audit Sections:</w:t>
      </w:r>
      <w:bookmarkEnd w:id="25"/>
    </w:p>
    <w:p>
      <w:pPr>
        <w:numPr>
          <w:ilvl w:val="0"/>
          <w:numId w:val="1002"/>
        </w:numPr>
        <w:pStyle w:val="Compact"/>
      </w:pPr>
      <w:r>
        <w:t xml:space="preserve">Organizational Structure and Responsibilities</w:t>
      </w:r>
    </w:p>
    <w:p>
      <w:pPr>
        <w:numPr>
          <w:ilvl w:val="0"/>
          <w:numId w:val="1002"/>
        </w:numPr>
        <w:pStyle w:val="Compact"/>
      </w:pPr>
      <w:r>
        <w:t xml:space="preserve">Quality Management System</w:t>
      </w:r>
    </w:p>
    <w:p>
      <w:pPr>
        <w:numPr>
          <w:ilvl w:val="0"/>
          <w:numId w:val="1002"/>
        </w:numPr>
        <w:pStyle w:val="Compact"/>
      </w:pPr>
      <w:r>
        <w:t xml:space="preserve">Protocol Development and Amendments</w:t>
      </w:r>
    </w:p>
    <w:p>
      <w:pPr>
        <w:numPr>
          <w:ilvl w:val="0"/>
          <w:numId w:val="1002"/>
        </w:numPr>
        <w:pStyle w:val="Compact"/>
      </w:pPr>
      <w:r>
        <w:t xml:space="preserve">Investigator Selection and Oversight</w:t>
      </w:r>
    </w:p>
    <w:p>
      <w:pPr>
        <w:numPr>
          <w:ilvl w:val="0"/>
          <w:numId w:val="1002"/>
        </w:numPr>
        <w:pStyle w:val="Compact"/>
      </w:pPr>
      <w:r>
        <w:t xml:space="preserve">Monitoring Activities and Documentation</w:t>
      </w:r>
    </w:p>
    <w:p>
      <w:pPr>
        <w:numPr>
          <w:ilvl w:val="0"/>
          <w:numId w:val="1002"/>
        </w:numPr>
        <w:pStyle w:val="Compact"/>
      </w:pPr>
      <w:r>
        <w:t xml:space="preserve">Data Management and Integrity</w:t>
      </w:r>
    </w:p>
    <w:p>
      <w:pPr>
        <w:numPr>
          <w:ilvl w:val="0"/>
          <w:numId w:val="1002"/>
        </w:numPr>
        <w:pStyle w:val="Compact"/>
      </w:pPr>
      <w:r>
        <w:t xml:space="preserve">Safety Reporting and Management</w:t>
      </w:r>
    </w:p>
    <w:p>
      <w:pPr>
        <w:numPr>
          <w:ilvl w:val="0"/>
          <w:numId w:val="1002"/>
        </w:numPr>
        <w:pStyle w:val="Compact"/>
      </w:pPr>
      <w:r>
        <w:t xml:space="preserve">Investigational Product Management</w:t>
      </w:r>
    </w:p>
    <w:p>
      <w:pPr>
        <w:numPr>
          <w:ilvl w:val="0"/>
          <w:numId w:val="1002"/>
        </w:numPr>
        <w:pStyle w:val="Compact"/>
      </w:pPr>
      <w:r>
        <w:t xml:space="preserve">Regulatory Submissions and Communications</w:t>
      </w:r>
    </w:p>
    <w:p>
      <w:pPr>
        <w:numPr>
          <w:ilvl w:val="0"/>
          <w:numId w:val="1002"/>
        </w:numPr>
        <w:pStyle w:val="Compact"/>
      </w:pPr>
      <w:r>
        <w:t xml:space="preserve">Documentation and Record Keeping</w:t>
      </w:r>
    </w:p>
    <w:p>
      <w:pPr>
        <w:numPr>
          <w:ilvl w:val="0"/>
          <w:numId w:val="1002"/>
        </w:numPr>
        <w:pStyle w:val="Compact"/>
      </w:pPr>
      <w:r>
        <w:t xml:space="preserve">Compliance and Corrective Actions</w:t>
      </w:r>
    </w:p>
    <w:p>
      <w:pPr>
        <w:numPr>
          <w:ilvl w:val="0"/>
          <w:numId w:val="1002"/>
        </w:numPr>
        <w:pStyle w:val="Compact"/>
      </w:pPr>
      <w:r>
        <w:t xml:space="preserve">Clinical Study Report Preparation and Submission</w:t>
      </w:r>
    </w:p>
    <w:p>
      <w:pPr>
        <w:numPr>
          <w:ilvl w:val="0"/>
          <w:numId w:val="1002"/>
        </w:numPr>
        <w:pStyle w:val="Compact"/>
      </w:pPr>
      <w:r>
        <w:t xml:space="preserve">ClinicalTrials.gov Compliance</w:t>
      </w:r>
    </w:p>
    <w:p>
      <w:pPr>
        <w:numPr>
          <w:ilvl w:val="0"/>
          <w:numId w:val="1002"/>
        </w:numPr>
        <w:pStyle w:val="Compact"/>
      </w:pPr>
      <w:r>
        <w:t xml:space="preserve">IRB/IEC Oversight and Communications</w:t>
      </w:r>
    </w:p>
    <w:p>
      <w:pPr>
        <w:numPr>
          <w:ilvl w:val="0"/>
          <w:numId w:val="1002"/>
        </w:numPr>
        <w:pStyle w:val="Compact"/>
      </w:pPr>
      <w:r>
        <w:t xml:space="preserve">Informed Consent Processes and Documentation</w:t>
      </w:r>
    </w:p>
    <w:p>
      <w:pPr>
        <w:numPr>
          <w:ilvl w:val="0"/>
          <w:numId w:val="1002"/>
        </w:numPr>
        <w:pStyle w:val="Compact"/>
      </w:pPr>
      <w:r>
        <w:t xml:space="preserve">Source Data Verification Procedures</w:t>
      </w:r>
    </w:p>
    <w:p>
      <w:pPr>
        <w:numPr>
          <w:ilvl w:val="0"/>
          <w:numId w:val="1002"/>
        </w:numPr>
        <w:pStyle w:val="Compact"/>
      </w:pPr>
      <w:r>
        <w:t xml:space="preserve">Financial Disclosure Compliance</w:t>
      </w:r>
    </w:p>
    <w:p>
      <w:pPr>
        <w:numPr>
          <w:ilvl w:val="0"/>
          <w:numId w:val="1002"/>
        </w:numPr>
        <w:pStyle w:val="Compact"/>
      </w:pPr>
      <w:r>
        <w:t xml:space="preserve">Essential Documents and Regulatory Binder Review</w:t>
      </w:r>
    </w:p>
    <w:p>
      <w:pPr>
        <w:numPr>
          <w:ilvl w:val="0"/>
          <w:numId w:val="1002"/>
        </w:numPr>
        <w:pStyle w:val="Compact"/>
      </w:pPr>
      <w:r>
        <w:t xml:space="preserve">Computerized Systems Validation (21 CFR Part 11)</w:t>
      </w:r>
    </w:p>
    <w:p>
      <w:pPr>
        <w:numPr>
          <w:ilvl w:val="0"/>
          <w:numId w:val="1002"/>
        </w:numPr>
        <w:pStyle w:val="Compact"/>
      </w:pPr>
      <w:r>
        <w:t xml:space="preserve">Audit Trail and Data Integrity Controls</w:t>
      </w:r>
    </w:p>
    <w:p>
      <w:pPr>
        <w:numPr>
          <w:ilvl w:val="0"/>
          <w:numId w:val="1002"/>
        </w:numPr>
        <w:pStyle w:val="Compact"/>
      </w:pPr>
      <w:r>
        <w:t xml:space="preserve">Serious Adverse Event Reporting Timelines</w:t>
      </w:r>
    </w:p>
    <w:p>
      <w:pPr>
        <w:numPr>
          <w:ilvl w:val="0"/>
          <w:numId w:val="1002"/>
        </w:numPr>
        <w:pStyle w:val="Compact"/>
      </w:pPr>
      <w:r>
        <w:t xml:space="preserve">Protocol Deviations Management</w:t>
      </w:r>
    </w:p>
    <w:p>
      <w:pPr>
        <w:pStyle w:val="Heading4"/>
      </w:pPr>
      <w:bookmarkStart w:id="26" w:name="detailed-appendices"/>
      <w:r>
        <w:t xml:space="preserve">4 Detailed Appendices:</w:t>
      </w:r>
      <w:bookmarkEnd w:id="26"/>
    </w:p>
    <w:p>
      <w:pPr>
        <w:numPr>
          <w:ilvl w:val="0"/>
          <w:numId w:val="1003"/>
        </w:numPr>
        <w:pStyle w:val="Compact"/>
      </w:pPr>
      <w:r>
        <w:t xml:space="preserve">Appendix A: Common FDA Inspection Findings and How to Address Them</w:t>
      </w:r>
    </w:p>
    <w:p>
      <w:pPr>
        <w:numPr>
          <w:ilvl w:val="0"/>
          <w:numId w:val="1003"/>
        </w:numPr>
        <w:pStyle w:val="Compact"/>
      </w:pPr>
      <w:r>
        <w:t xml:space="preserve">Appendix B: Key Regulatory References Quick Guide</w:t>
      </w:r>
    </w:p>
    <w:p>
      <w:pPr>
        <w:numPr>
          <w:ilvl w:val="0"/>
          <w:numId w:val="1003"/>
        </w:numPr>
        <w:pStyle w:val="Compact"/>
      </w:pPr>
      <w:r>
        <w:t xml:space="preserve">Appendix C: Glossary of Terms and Abbreviations</w:t>
      </w:r>
    </w:p>
    <w:p>
      <w:pPr>
        <w:numPr>
          <w:ilvl w:val="0"/>
          <w:numId w:val="1003"/>
        </w:numPr>
        <w:pStyle w:val="Compact"/>
      </w:pPr>
      <w:r>
        <w:t xml:space="preserve">Appendix D: Sample Audit Report Template Structure</w:t>
      </w:r>
    </w:p>
    <w:p>
      <w:pPr>
        <w:pStyle w:val="FirstParagraph"/>
      </w:pPr>
      <w:r>
        <w:rPr>
          <w:b/>
        </w:rPr>
        <w:t xml:space="preserve">Each section includes:</w:t>
      </w:r>
      <w:r>
        <w:t xml:space="preserve"> </w:t>
      </w:r>
      <w:r>
        <w:t xml:space="preserve">- Overview of the audit area</w:t>
      </w:r>
      <w:r>
        <w:t xml:space="preserve"> </w:t>
      </w:r>
      <w:r>
        <w:t xml:space="preserve">- Detailed checklist items with specific verification points</w:t>
      </w:r>
      <w:r>
        <w:t xml:space="preserve"> </w:t>
      </w:r>
      <w:r>
        <w:t xml:space="preserve">- Examples and verification questions</w:t>
      </w:r>
      <w:r>
        <w:t xml:space="preserve"> </w:t>
      </w:r>
      <w:r>
        <w:t xml:space="preserve">- Key documents to review</w:t>
      </w:r>
      <w:r>
        <w:t xml:space="preserve"> </w:t>
      </w:r>
      <w:r>
        <w:t xml:space="preserve">- Specific regulatory references (CFR citations, ICH sections)</w:t>
      </w:r>
    </w:p>
    <w:p>
      <w:pPr>
        <w:pStyle w:val="BodyText"/>
      </w:pPr>
      <w:r>
        <w:rPr>
          <w:b/>
        </w:rPr>
        <w:t xml:space="preserve">Use this document as:</w:t>
      </w:r>
      <w:r>
        <w:t xml:space="preserve"> </w:t>
      </w:r>
      <w:r>
        <w:t xml:space="preserve">Your primary audit tool for conducting systematic document review, process verification, and compliance assessment.</w:t>
      </w:r>
    </w:p>
    <w:p>
      <w:r>
        <w:pict>
          <v:rect style="width:0;height:1.5pt" o:hralign="center" o:hrstd="t" o:hr="t"/>
        </w:pict>
      </w:r>
    </w:p>
    <w:p>
      <w:pPr>
        <w:pStyle w:val="Heading2"/>
      </w:pPr>
      <w:bookmarkStart w:id="27" w:name="key-features-of-this-audit-program"/>
      <w:r>
        <w:t xml:space="preserve">Key Features of This Audit Program</w:t>
      </w:r>
      <w:bookmarkEnd w:id="27"/>
    </w:p>
    <w:p>
      <w:pPr>
        <w:pStyle w:val="Heading3"/>
      </w:pPr>
      <w:bookmarkStart w:id="28" w:name="comprehensive-coverage"/>
      <w:r>
        <w:t xml:space="preserve">Comprehensive Coverage</w:t>
      </w:r>
      <w:bookmarkEnd w:id="28"/>
    </w:p>
    <w:p>
      <w:pPr>
        <w:numPr>
          <w:ilvl w:val="0"/>
          <w:numId w:val="1004"/>
        </w:numPr>
        <w:pStyle w:val="Compact"/>
      </w:pPr>
      <w:r>
        <w:t xml:space="preserve">Based on complete analysis of ICH E6(R3) (95 pages) and FDA CP 7348.810 (66 pages)</w:t>
      </w:r>
    </w:p>
    <w:p>
      <w:pPr>
        <w:numPr>
          <w:ilvl w:val="0"/>
          <w:numId w:val="1004"/>
        </w:numPr>
        <w:pStyle w:val="Compact"/>
      </w:pPr>
      <w:r>
        <w:t xml:space="preserve">Covers all sponsor responsibilities and FDA inspection focus areas</w:t>
      </w:r>
    </w:p>
    <w:p>
      <w:pPr>
        <w:numPr>
          <w:ilvl w:val="0"/>
          <w:numId w:val="1004"/>
        </w:numPr>
        <w:pStyle w:val="Compact"/>
      </w:pPr>
      <w:r>
        <w:t xml:space="preserve">Addresses both traditional and emerging compliance topics (e.g., computerized systems, risk-based monitoring)</w:t>
      </w:r>
    </w:p>
    <w:p>
      <w:pPr>
        <w:pStyle w:val="Heading3"/>
      </w:pPr>
      <w:bookmarkStart w:id="29" w:name="actionable-and-specific"/>
      <w:r>
        <w:t xml:space="preserve">Actionable and Specific</w:t>
      </w:r>
      <w:bookmarkEnd w:id="29"/>
    </w:p>
    <w:p>
      <w:pPr>
        <w:numPr>
          <w:ilvl w:val="0"/>
          <w:numId w:val="1005"/>
        </w:numPr>
        <w:pStyle w:val="Compact"/>
      </w:pPr>
      <w:r>
        <w:t xml:space="preserve">Each checklist item includes specific verification points</w:t>
      </w:r>
    </w:p>
    <w:p>
      <w:pPr>
        <w:numPr>
          <w:ilvl w:val="0"/>
          <w:numId w:val="1005"/>
        </w:numPr>
        <w:pStyle w:val="Compact"/>
      </w:pPr>
      <w:r>
        <w:t xml:space="preserve">Concrete examples provided for clarity</w:t>
      </w:r>
    </w:p>
    <w:p>
      <w:pPr>
        <w:numPr>
          <w:ilvl w:val="0"/>
          <w:numId w:val="1005"/>
        </w:numPr>
        <w:pStyle w:val="Compact"/>
      </w:pPr>
      <w:r>
        <w:t xml:space="preserve">Clear identification of documents to review</w:t>
      </w:r>
    </w:p>
    <w:p>
      <w:pPr>
        <w:numPr>
          <w:ilvl w:val="0"/>
          <w:numId w:val="1005"/>
        </w:numPr>
        <w:pStyle w:val="Compact"/>
      </w:pPr>
      <w:r>
        <w:t xml:space="preserve">Specific regulatory references for each requirement</w:t>
      </w:r>
    </w:p>
    <w:p>
      <w:pPr>
        <w:pStyle w:val="Heading3"/>
      </w:pPr>
      <w:bookmarkStart w:id="30" w:name="risk-based-approach"/>
      <w:r>
        <w:t xml:space="preserve">Risk-Based Approach</w:t>
      </w:r>
      <w:bookmarkEnd w:id="30"/>
    </w:p>
    <w:p>
      <w:pPr>
        <w:numPr>
          <w:ilvl w:val="0"/>
          <w:numId w:val="1006"/>
        </w:numPr>
        <w:pStyle w:val="Compact"/>
      </w:pPr>
      <w:r>
        <w:t xml:space="preserve">Focuses on critical-to-quality factors</w:t>
      </w:r>
    </w:p>
    <w:p>
      <w:pPr>
        <w:numPr>
          <w:ilvl w:val="0"/>
          <w:numId w:val="1006"/>
        </w:numPr>
        <w:pStyle w:val="Compact"/>
      </w:pPr>
      <w:r>
        <w:t xml:space="preserve">Emphasizes areas with high FDA inspection findings</w:t>
      </w:r>
    </w:p>
    <w:p>
      <w:pPr>
        <w:numPr>
          <w:ilvl w:val="0"/>
          <w:numId w:val="1006"/>
        </w:numPr>
        <w:pStyle w:val="Compact"/>
      </w:pPr>
      <w:r>
        <w:t xml:space="preserve">Prioritizes participant safety and data integrity</w:t>
      </w:r>
    </w:p>
    <w:p>
      <w:pPr>
        <w:pStyle w:val="Heading3"/>
      </w:pPr>
      <w:bookmarkStart w:id="31" w:name="current-and-authoritative"/>
      <w:r>
        <w:t xml:space="preserve">Current and Authoritative</w:t>
      </w:r>
      <w:bookmarkEnd w:id="31"/>
    </w:p>
    <w:p>
      <w:pPr>
        <w:numPr>
          <w:ilvl w:val="0"/>
          <w:numId w:val="1007"/>
        </w:numPr>
        <w:pStyle w:val="Compact"/>
      </w:pPr>
      <w:r>
        <w:t xml:space="preserve">Based on the latest ICH E6(R3) guideline (adopted January 2025)</w:t>
      </w:r>
    </w:p>
    <w:p>
      <w:pPr>
        <w:numPr>
          <w:ilvl w:val="0"/>
          <w:numId w:val="1007"/>
        </w:numPr>
        <w:pStyle w:val="Compact"/>
      </w:pPr>
      <w:r>
        <w:t xml:space="preserve">Incorporates current FDA compliance program requirements</w:t>
      </w:r>
    </w:p>
    <w:p>
      <w:pPr>
        <w:numPr>
          <w:ilvl w:val="0"/>
          <w:numId w:val="1007"/>
        </w:numPr>
        <w:pStyle w:val="Compact"/>
      </w:pPr>
      <w:r>
        <w:t xml:space="preserve">Reflects modern clinical trial practices and technologies</w:t>
      </w:r>
    </w:p>
    <w:p>
      <w:r>
        <w:pict>
          <v:rect style="width:0;height:1.5pt" o:hralign="center" o:hrstd="t" o:hr="t"/>
        </w:pict>
      </w:r>
    </w:p>
    <w:p>
      <w:pPr>
        <w:pStyle w:val="Heading2"/>
      </w:pPr>
      <w:bookmarkStart w:id="32" w:name="how-to-use-this-package"/>
      <w:r>
        <w:t xml:space="preserve">How to Use This Package</w:t>
      </w:r>
      <w:bookmarkEnd w:id="32"/>
    </w:p>
    <w:p>
      <w:pPr>
        <w:pStyle w:val="Heading3"/>
      </w:pPr>
      <w:bookmarkStart w:id="33" w:name="step-1-review-the-overview-document"/>
      <w:r>
        <w:t xml:space="preserve">Step 1: Review the Overview Document</w:t>
      </w:r>
      <w:bookmarkEnd w:id="33"/>
    </w:p>
    <w:p>
      <w:pPr>
        <w:pStyle w:val="FirstParagraph"/>
      </w:pPr>
      <w:r>
        <w:t xml:space="preserve">Read AUDIT_PROGRAM_OVERVIEW.md to understand the audit framework, regulatory context, and implementation approach.</w:t>
      </w:r>
    </w:p>
    <w:p>
      <w:pPr>
        <w:pStyle w:val="Heading3"/>
      </w:pPr>
      <w:bookmarkStart w:id="34" w:name="step-2-assemble-your-audit-team"/>
      <w:r>
        <w:t xml:space="preserve">Step 2: Assemble Your Audit Team</w:t>
      </w:r>
      <w:bookmarkEnd w:id="34"/>
    </w:p>
    <w:p>
      <w:pPr>
        <w:pStyle w:val="FirstParagraph"/>
      </w:pPr>
      <w:r>
        <w:t xml:space="preserve">Using the guidance in the overview document, assemble a multidisciplinary team with appropriate expertise.</w:t>
      </w:r>
    </w:p>
    <w:p>
      <w:pPr>
        <w:pStyle w:val="Heading3"/>
      </w:pPr>
      <w:bookmarkStart w:id="35" w:name="step-3-plan-your-audit-timeline"/>
      <w:r>
        <w:t xml:space="preserve">Step 3: Plan Your Audit Timeline</w:t>
      </w:r>
      <w:bookmarkEnd w:id="35"/>
    </w:p>
    <w:p>
      <w:pPr>
        <w:pStyle w:val="FirstParagraph"/>
      </w:pPr>
      <w:r>
        <w:t xml:space="preserve">Schedule audit activities 6-8 weeks before anticipated FDA inspection, allowing 2-3 weeks for audit execution and 2-4 weeks for CAPA implementation.</w:t>
      </w:r>
    </w:p>
    <w:p>
      <w:pPr>
        <w:pStyle w:val="Heading3"/>
      </w:pPr>
      <w:bookmarkStart w:id="36" w:name="step-4-conduct-the-audit"/>
      <w:r>
        <w:t xml:space="preserve">Step 4: Conduct the Audit</w:t>
      </w:r>
      <w:bookmarkEnd w:id="36"/>
    </w:p>
    <w:p>
      <w:pPr>
        <w:pStyle w:val="FirstParagraph"/>
      </w:pPr>
      <w:r>
        <w:t xml:space="preserve">Use FINAL_SPONSOR_AUDIT_CHECKLIST.md systematically to:</w:t>
      </w:r>
      <w:r>
        <w:t xml:space="preserve"> </w:t>
      </w:r>
      <w:r>
        <w:t xml:space="preserve">- Review all essential documents</w:t>
      </w:r>
      <w:r>
        <w:t xml:space="preserve"> </w:t>
      </w:r>
      <w:r>
        <w:t xml:space="preserve">- Interview key personnel</w:t>
      </w:r>
      <w:r>
        <w:t xml:space="preserve"> </w:t>
      </w:r>
      <w:r>
        <w:t xml:space="preserve">- Observe critical processes</w:t>
      </w:r>
      <w:r>
        <w:t xml:space="preserve"> </w:t>
      </w:r>
      <w:r>
        <w:t xml:space="preserve">- Verify data integrity and system controls</w:t>
      </w:r>
      <w:r>
        <w:t xml:space="preserve"> </w:t>
      </w:r>
      <w:r>
        <w:t xml:space="preserve">- Document findings with evidence</w:t>
      </w:r>
    </w:p>
    <w:p>
      <w:pPr>
        <w:pStyle w:val="Heading3"/>
      </w:pPr>
      <w:bookmarkStart w:id="37" w:name="step-5-document-findings"/>
      <w:r>
        <w:t xml:space="preserve">Step 5: Document Findings</w:t>
      </w:r>
      <w:bookmarkEnd w:id="37"/>
    </w:p>
    <w:p>
      <w:pPr>
        <w:pStyle w:val="FirstParagraph"/>
      </w:pPr>
      <w:r>
        <w:t xml:space="preserve">For each checklist item, document:</w:t>
      </w:r>
      <w:r>
        <w:t xml:space="preserve"> </w:t>
      </w:r>
      <w:r>
        <w:t xml:space="preserve">- Compliance status (compliant, non-compliant, not applicable)</w:t>
      </w:r>
      <w:r>
        <w:t xml:space="preserve"> </w:t>
      </w:r>
      <w:r>
        <w:t xml:space="preserve">- Evidence reviewed</w:t>
      </w:r>
      <w:r>
        <w:t xml:space="preserve"> </w:t>
      </w:r>
      <w:r>
        <w:t xml:space="preserve">- Specific findings or gaps identified</w:t>
      </w:r>
      <w:r>
        <w:t xml:space="preserve"> </w:t>
      </w:r>
      <w:r>
        <w:t xml:space="preserve">- Severity classification (critical, major, minor, observation)</w:t>
      </w:r>
    </w:p>
    <w:p>
      <w:pPr>
        <w:pStyle w:val="Heading3"/>
      </w:pPr>
      <w:bookmarkStart w:id="38" w:name="step-6-develop-capa-plan"/>
      <w:r>
        <w:t xml:space="preserve">Step 6: Develop CAPA Plan</w:t>
      </w:r>
      <w:bookmarkEnd w:id="38"/>
    </w:p>
    <w:p>
      <w:pPr>
        <w:pStyle w:val="FirstParagraph"/>
      </w:pPr>
      <w:r>
        <w:t xml:space="preserve">For all non-compliant findings:</w:t>
      </w:r>
      <w:r>
        <w:t xml:space="preserve"> </w:t>
      </w:r>
      <w:r>
        <w:t xml:space="preserve">- Conduct root cause analysis</w:t>
      </w:r>
      <w:r>
        <w:t xml:space="preserve"> </w:t>
      </w:r>
      <w:r>
        <w:t xml:space="preserve">- Define corrective actions (fix the problem)</w:t>
      </w:r>
      <w:r>
        <w:t xml:space="preserve"> </w:t>
      </w:r>
      <w:r>
        <w:t xml:space="preserve">- Define preventive actions (prevent recurrence)</w:t>
      </w:r>
      <w:r>
        <w:t xml:space="preserve"> </w:t>
      </w:r>
      <w:r>
        <w:t xml:space="preserve">- Assign responsibility and timeline</w:t>
      </w:r>
      <w:r>
        <w:t xml:space="preserve"> </w:t>
      </w:r>
      <w:r>
        <w:t xml:space="preserve">- Plan verification of effectiveness</w:t>
      </w:r>
    </w:p>
    <w:p>
      <w:pPr>
        <w:pStyle w:val="Heading3"/>
      </w:pPr>
      <w:bookmarkStart w:id="39" w:name="step-7-implement-corrections"/>
      <w:r>
        <w:t xml:space="preserve">Step 7: Implement Corrections</w:t>
      </w:r>
      <w:bookmarkEnd w:id="39"/>
    </w:p>
    <w:p>
      <w:pPr>
        <w:pStyle w:val="FirstParagraph"/>
      </w:pPr>
      <w:r>
        <w:t xml:space="preserve">Execute CAPA plan with appropriate urgency based on finding severity. Prioritize critical and major findings.</w:t>
      </w:r>
    </w:p>
    <w:p>
      <w:pPr>
        <w:pStyle w:val="Heading3"/>
      </w:pPr>
      <w:bookmarkStart w:id="40" w:name="step-8-verify-and-prepare"/>
      <w:r>
        <w:t xml:space="preserve">Step 8: Verify and Prepare</w:t>
      </w:r>
      <w:bookmarkEnd w:id="40"/>
    </w:p>
    <w:p>
      <w:pPr>
        <w:numPr>
          <w:ilvl w:val="0"/>
          <w:numId w:val="1008"/>
        </w:numPr>
        <w:pStyle w:val="Compact"/>
      </w:pPr>
      <w:r>
        <w:t xml:space="preserve">Verify CAPA implementation and effectiveness</w:t>
      </w:r>
    </w:p>
    <w:p>
      <w:pPr>
        <w:numPr>
          <w:ilvl w:val="0"/>
          <w:numId w:val="1008"/>
        </w:numPr>
        <w:pStyle w:val="Compact"/>
      </w:pPr>
      <w:r>
        <w:t xml:space="preserve">Conduct mock inspection if time permits</w:t>
      </w:r>
    </w:p>
    <w:p>
      <w:pPr>
        <w:numPr>
          <w:ilvl w:val="0"/>
          <w:numId w:val="1008"/>
        </w:numPr>
        <w:pStyle w:val="Compact"/>
      </w:pPr>
      <w:r>
        <w:t xml:space="preserve">Brief personnel on FDA inspection procedures</w:t>
      </w:r>
    </w:p>
    <w:p>
      <w:pPr>
        <w:numPr>
          <w:ilvl w:val="0"/>
          <w:numId w:val="1008"/>
        </w:numPr>
        <w:pStyle w:val="Compact"/>
      </w:pPr>
      <w:r>
        <w:t xml:space="preserve">Organize documents for easy access</w:t>
      </w:r>
    </w:p>
    <w:p>
      <w:pPr>
        <w:numPr>
          <w:ilvl w:val="0"/>
          <w:numId w:val="1008"/>
        </w:numPr>
        <w:pStyle w:val="Compact"/>
      </w:pPr>
      <w:r>
        <w:t xml:space="preserve">Finalize inspection readiness</w:t>
      </w:r>
    </w:p>
    <w:p>
      <w:r>
        <w:pict>
          <v:rect style="width:0;height:1.5pt" o:hralign="center" o:hrstd="t" o:hr="t"/>
        </w:pict>
      </w:r>
    </w:p>
    <w:p>
      <w:pPr>
        <w:pStyle w:val="Heading2"/>
      </w:pPr>
      <w:bookmarkStart w:id="41" w:name="regulatory-basis"/>
      <w:r>
        <w:t xml:space="preserve">Regulatory Basis</w:t>
      </w:r>
      <w:bookmarkEnd w:id="41"/>
    </w:p>
    <w:p>
      <w:pPr>
        <w:pStyle w:val="FirstParagraph"/>
      </w:pPr>
      <w:r>
        <w:t xml:space="preserve">This audit program is based on comprehensive analysis of:</w:t>
      </w:r>
    </w:p>
    <w:p>
      <w:pPr>
        <w:pStyle w:val="Heading3"/>
      </w:pPr>
      <w:bookmarkStart w:id="42" w:name="X73dacd4b16740e167e297123a02db0b994c0733"/>
      <w:r>
        <w:t xml:space="preserve">ICH E6(R3) Guideline for Good Clinical Practice</w:t>
      </w:r>
      <w:bookmarkEnd w:id="42"/>
    </w:p>
    <w:p>
      <w:pPr>
        <w:numPr>
          <w:ilvl w:val="0"/>
          <w:numId w:val="1009"/>
        </w:numPr>
        <w:pStyle w:val="Compact"/>
      </w:pPr>
      <w:r>
        <w:rPr>
          <w:b/>
        </w:rPr>
        <w:t xml:space="preserve">Document:</w:t>
      </w:r>
      <w:r>
        <w:t xml:space="preserve"> </w:t>
      </w:r>
      <w:r>
        <w:t xml:space="preserve">Final version adopted January 6, 2025</w:t>
      </w:r>
    </w:p>
    <w:p>
      <w:pPr>
        <w:numPr>
          <w:ilvl w:val="0"/>
          <w:numId w:val="1009"/>
        </w:numPr>
        <w:pStyle w:val="Compact"/>
      </w:pPr>
      <w:r>
        <w:rPr>
          <w:b/>
        </w:rPr>
        <w:t xml:space="preserve">Length:</w:t>
      </w:r>
      <w:r>
        <w:t xml:space="preserve"> </w:t>
      </w:r>
      <w:r>
        <w:t xml:space="preserve">95 pages</w:t>
      </w:r>
    </w:p>
    <w:p>
      <w:pPr>
        <w:numPr>
          <w:ilvl w:val="0"/>
          <w:numId w:val="1009"/>
        </w:numPr>
        <w:pStyle w:val="Compact"/>
      </w:pPr>
      <w:r>
        <w:rPr>
          <w:b/>
        </w:rPr>
        <w:t xml:space="preserve">Scope:</w:t>
      </w:r>
      <w:r>
        <w:t xml:space="preserve"> </w:t>
      </w:r>
      <w:r>
        <w:t xml:space="preserve">International standard for designing, conducting, recording, and reporting clinical trials</w:t>
      </w:r>
    </w:p>
    <w:p>
      <w:pPr>
        <w:numPr>
          <w:ilvl w:val="0"/>
          <w:numId w:val="1009"/>
        </w:numPr>
        <w:pStyle w:val="Compact"/>
      </w:pPr>
      <w:r>
        <w:rPr>
          <w:b/>
        </w:rPr>
        <w:t xml:space="preserve">Key Principles:</w:t>
      </w:r>
      <w:r>
        <w:t xml:space="preserve"> </w:t>
      </w:r>
      <w:r>
        <w:t xml:space="preserve">Quality by design, risk-based quality management, data integrity, participant safety</w:t>
      </w:r>
    </w:p>
    <w:p>
      <w:pPr>
        <w:pStyle w:val="Heading3"/>
      </w:pPr>
      <w:bookmarkStart w:id="43" w:name="fda-compliance-program-7348.810"/>
      <w:r>
        <w:t xml:space="preserve">FDA Compliance Program 7348.810</w:t>
      </w:r>
      <w:bookmarkEnd w:id="43"/>
    </w:p>
    <w:p>
      <w:pPr>
        <w:numPr>
          <w:ilvl w:val="0"/>
          <w:numId w:val="1010"/>
        </w:numPr>
        <w:pStyle w:val="Compact"/>
      </w:pPr>
      <w:r>
        <w:rPr>
          <w:b/>
        </w:rPr>
        <w:t xml:space="preserve">Document:</w:t>
      </w:r>
      <w:r>
        <w:t xml:space="preserve"> </w:t>
      </w:r>
      <w:r>
        <w:t xml:space="preserve">Sponsors and Contract Research Organizations</w:t>
      </w:r>
    </w:p>
    <w:p>
      <w:pPr>
        <w:numPr>
          <w:ilvl w:val="0"/>
          <w:numId w:val="1010"/>
        </w:numPr>
        <w:pStyle w:val="Compact"/>
      </w:pPr>
      <w:r>
        <w:rPr>
          <w:b/>
        </w:rPr>
        <w:t xml:space="preserve">Effective Date:</w:t>
      </w:r>
      <w:r>
        <w:t xml:space="preserve"> </w:t>
      </w:r>
      <w:r>
        <w:t xml:space="preserve">September 15, 2021</w:t>
      </w:r>
    </w:p>
    <w:p>
      <w:pPr>
        <w:numPr>
          <w:ilvl w:val="0"/>
          <w:numId w:val="1010"/>
        </w:numPr>
        <w:pStyle w:val="Compact"/>
      </w:pPr>
      <w:r>
        <w:rPr>
          <w:b/>
        </w:rPr>
        <w:t xml:space="preserve">Length:</w:t>
      </w:r>
      <w:r>
        <w:t xml:space="preserve"> </w:t>
      </w:r>
      <w:r>
        <w:t xml:space="preserve">66 pages</w:t>
      </w:r>
    </w:p>
    <w:p>
      <w:pPr>
        <w:numPr>
          <w:ilvl w:val="0"/>
          <w:numId w:val="1010"/>
        </w:numPr>
        <w:pStyle w:val="Compact"/>
      </w:pPr>
      <w:r>
        <w:rPr>
          <w:b/>
        </w:rPr>
        <w:t xml:space="preserve">Scope:</w:t>
      </w:r>
      <w:r>
        <w:t xml:space="preserve"> </w:t>
      </w:r>
      <w:r>
        <w:t xml:space="preserve">FDA guidance for conducting BIMO inspections of sponsors and CROs</w:t>
      </w:r>
    </w:p>
    <w:p>
      <w:pPr>
        <w:numPr>
          <w:ilvl w:val="0"/>
          <w:numId w:val="1010"/>
        </w:numPr>
        <w:pStyle w:val="Compact"/>
      </w:pPr>
      <w:r>
        <w:rPr>
          <w:b/>
        </w:rPr>
        <w:t xml:space="preserve">Focus Areas:</w:t>
      </w:r>
      <w:r>
        <w:t xml:space="preserve"> </w:t>
      </w:r>
      <w:r>
        <w:t xml:space="preserve">Sponsor oversight, data integrity, safety reporting, protocol compliance, regulatory submissions</w:t>
      </w:r>
    </w:p>
    <w:p>
      <w:pPr>
        <w:pStyle w:val="Heading3"/>
      </w:pPr>
      <w:bookmarkStart w:id="44" w:name="additional-regulatory-references"/>
      <w:r>
        <w:t xml:space="preserve">Additional Regulatory References</w:t>
      </w:r>
      <w:bookmarkEnd w:id="44"/>
    </w:p>
    <w:p>
      <w:pPr>
        <w:numPr>
          <w:ilvl w:val="0"/>
          <w:numId w:val="1011"/>
        </w:numPr>
        <w:pStyle w:val="Compact"/>
      </w:pPr>
      <w:r>
        <w:t xml:space="preserve">21 CFR Parts 11, 50, 54, 56, 312, 314, 320</w:t>
      </w:r>
    </w:p>
    <w:p>
      <w:pPr>
        <w:numPr>
          <w:ilvl w:val="0"/>
          <w:numId w:val="1011"/>
        </w:numPr>
        <w:pStyle w:val="Compact"/>
      </w:pPr>
      <w:r>
        <w:t xml:space="preserve">42 CFR Part 11 (ClinicalTrials.gov)</w:t>
      </w:r>
    </w:p>
    <w:p>
      <w:pPr>
        <w:numPr>
          <w:ilvl w:val="0"/>
          <w:numId w:val="1011"/>
        </w:numPr>
        <w:pStyle w:val="Compact"/>
      </w:pPr>
      <w:r>
        <w:t xml:space="preserve">ICH E3, E8(R1), E2A, E9 guidelines</w:t>
      </w:r>
    </w:p>
    <w:p>
      <w:pPr>
        <w:numPr>
          <w:ilvl w:val="0"/>
          <w:numId w:val="1011"/>
        </w:numPr>
        <w:pStyle w:val="Compact"/>
      </w:pPr>
      <w:r>
        <w:t xml:space="preserve">FDA guidance documents on monitoring, electronic records, informed consent</w:t>
      </w:r>
    </w:p>
    <w:p>
      <w:r>
        <w:pict>
          <v:rect style="width:0;height:1.5pt" o:hralign="center" o:hrstd="t" o:hr="t"/>
        </w:pict>
      </w:r>
    </w:p>
    <w:p>
      <w:pPr>
        <w:pStyle w:val="Heading2"/>
      </w:pPr>
      <w:bookmarkStart w:id="45" w:name="expected-outcomes"/>
      <w:r>
        <w:t xml:space="preserve">Expected Outcomes</w:t>
      </w:r>
      <w:bookmarkEnd w:id="45"/>
    </w:p>
    <w:p>
      <w:pPr>
        <w:pStyle w:val="FirstParagraph"/>
      </w:pPr>
      <w:r>
        <w:t xml:space="preserve">By completing this internal audit program, your organization will:</w:t>
      </w:r>
    </w:p>
    <w:p>
      <w:pPr>
        <w:numPr>
          <w:ilvl w:val="0"/>
          <w:numId w:val="1012"/>
        </w:numPr>
        <w:pStyle w:val="Compact"/>
      </w:pPr>
      <w:r>
        <w:rPr>
          <w:b/>
        </w:rPr>
        <w:t xml:space="preserve">Identify Compliance Gaps</w:t>
      </w:r>
      <w:r>
        <w:t xml:space="preserve">: Discover any deficiencies before FDA inspection</w:t>
      </w:r>
    </w:p>
    <w:p>
      <w:pPr>
        <w:numPr>
          <w:ilvl w:val="0"/>
          <w:numId w:val="1012"/>
        </w:numPr>
        <w:pStyle w:val="Compact"/>
      </w:pPr>
      <w:r>
        <w:rPr>
          <w:b/>
        </w:rPr>
        <w:t xml:space="preserve">Implement Corrections</w:t>
      </w:r>
      <w:r>
        <w:t xml:space="preserve">: Address issues proactively with documented CAPA</w:t>
      </w:r>
    </w:p>
    <w:p>
      <w:pPr>
        <w:numPr>
          <w:ilvl w:val="0"/>
          <w:numId w:val="1012"/>
        </w:numPr>
        <w:pStyle w:val="Compact"/>
      </w:pPr>
      <w:r>
        <w:rPr>
          <w:b/>
        </w:rPr>
        <w:t xml:space="preserve">Strengthen Systems</w:t>
      </w:r>
      <w:r>
        <w:t xml:space="preserve">: Improve overall quality management and compliance culture</w:t>
      </w:r>
    </w:p>
    <w:p>
      <w:pPr>
        <w:numPr>
          <w:ilvl w:val="0"/>
          <w:numId w:val="1012"/>
        </w:numPr>
        <w:pStyle w:val="Compact"/>
      </w:pPr>
      <w:r>
        <w:rPr>
          <w:b/>
        </w:rPr>
        <w:t xml:space="preserve">Prepare Personnel</w:t>
      </w:r>
      <w:r>
        <w:t xml:space="preserve">: Ensure staff are ready for FDA interviews and document requests</w:t>
      </w:r>
    </w:p>
    <w:p>
      <w:pPr>
        <w:numPr>
          <w:ilvl w:val="0"/>
          <w:numId w:val="1012"/>
        </w:numPr>
        <w:pStyle w:val="Compact"/>
      </w:pPr>
      <w:r>
        <w:rPr>
          <w:b/>
        </w:rPr>
        <w:t xml:space="preserve">Demonstrate Commitment</w:t>
      </w:r>
      <w:r>
        <w:t xml:space="preserve">: Show FDA your commitment to participant safety and data integrity</w:t>
      </w:r>
    </w:p>
    <w:p>
      <w:pPr>
        <w:numPr>
          <w:ilvl w:val="0"/>
          <w:numId w:val="1012"/>
        </w:numPr>
        <w:pStyle w:val="Compact"/>
      </w:pPr>
      <w:r>
        <w:rPr>
          <w:b/>
        </w:rPr>
        <w:t xml:space="preserve">Increase Confidence</w:t>
      </w:r>
      <w:r>
        <w:t xml:space="preserve">: Approach FDA inspection with confidence and preparation</w:t>
      </w:r>
    </w:p>
    <w:p>
      <w:pPr>
        <w:numPr>
          <w:ilvl w:val="0"/>
          <w:numId w:val="1012"/>
        </w:numPr>
        <w:pStyle w:val="Compact"/>
      </w:pPr>
      <w:r>
        <w:rPr>
          <w:b/>
        </w:rPr>
        <w:t xml:space="preserve">Facilitate Approval</w:t>
      </w:r>
      <w:r>
        <w:t xml:space="preserve">: Support timely review and approval of your drug application</w:t>
      </w:r>
    </w:p>
    <w:p>
      <w:r>
        <w:pict>
          <v:rect style="width:0;height:1.5pt" o:hralign="center" o:hrstd="t" o:hr="t"/>
        </w:pict>
      </w:r>
    </w:p>
    <w:p>
      <w:pPr>
        <w:pStyle w:val="Heading2"/>
      </w:pPr>
      <w:bookmarkStart w:id="46" w:name="contact-and-support"/>
      <w:r>
        <w:t xml:space="preserve">Contact and Support</w:t>
      </w:r>
      <w:bookmarkEnd w:id="46"/>
    </w:p>
    <w:p>
      <w:pPr>
        <w:pStyle w:val="FirstParagraph"/>
      </w:pPr>
      <w:r>
        <w:t xml:space="preserve">For questions about implementing this audit program, consult with:</w:t>
      </w:r>
      <w:r>
        <w:t xml:space="preserve"> </w:t>
      </w:r>
      <w:r>
        <w:t xml:space="preserve">- Your Quality Assurance department</w:t>
      </w:r>
      <w:r>
        <w:t xml:space="preserve"> </w:t>
      </w:r>
      <w:r>
        <w:t xml:space="preserve">- Regulatory Affairs leadership</w:t>
      </w:r>
      <w:r>
        <w:t xml:space="preserve"> </w:t>
      </w:r>
      <w:r>
        <w:t xml:space="preserve">- Legal counsel (for interpretation of regulatory requirements)</w:t>
      </w:r>
      <w:r>
        <w:t xml:space="preserve"> </w:t>
      </w:r>
      <w:r>
        <w:t xml:space="preserve">- External regulatory consultants (if additional expertise needed)</w:t>
      </w:r>
    </w:p>
    <w:p>
      <w:r>
        <w:pict>
          <v:rect style="width:0;height:1.5pt" o:hralign="center" o:hrstd="t" o:hr="t"/>
        </w:pict>
      </w:r>
    </w:p>
    <w:p>
      <w:pPr>
        <w:pStyle w:val="Heading2"/>
      </w:pPr>
      <w:bookmarkStart w:id="47" w:name="document-version-control"/>
      <w:r>
        <w:t xml:space="preserve">Document Version Control</w:t>
      </w:r>
      <w:bookmarkEnd w:id="47"/>
    </w:p>
    <w:tbl>
      <w:tblPr>
        <w:tblStyle w:val="Table"/>
        <w:tblW w:type="pct" w:w="0.0"/>
        <w:tblLook w:firstRow="1"/>
      </w:tblPr>
      <w:tblGrid/>
      <w:tr>
        <w:trPr>
          <w:cnfStyle w:firstRow="1"/>
        </w:trPr>
        <w:tc>
          <w:tcPr>
            <w:tcBorders>
              <w:bottom w:val="single"/>
            </w:tcBorders>
            <w:vAlign w:val="bottom"/>
          </w:tcPr>
          <w:p>
            <w:pPr>
              <w:pStyle w:val="Compact"/>
              <w:jc w:val="left"/>
            </w:pPr>
            <w:r>
              <w:t xml:space="preserve">Document</w:t>
            </w:r>
          </w:p>
        </w:tc>
        <w:tc>
          <w:tcPr>
            <w:tcBorders>
              <w:bottom w:val="single"/>
            </w:tcBorders>
            <w:vAlign w:val="bottom"/>
          </w:tcPr>
          <w:p>
            <w:pPr>
              <w:pStyle w:val="Compact"/>
              <w:jc w:val="left"/>
            </w:pPr>
            <w:r>
              <w:t xml:space="preserve">Version</w:t>
            </w:r>
          </w:p>
        </w:tc>
        <w:tc>
          <w:tcPr>
            <w:tcBorders>
              <w:bottom w:val="single"/>
            </w:tcBorders>
            <w:vAlign w:val="bottom"/>
          </w:tcPr>
          <w:p>
            <w:pPr>
              <w:pStyle w:val="Compact"/>
              <w:jc w:val="left"/>
            </w:pPr>
            <w:r>
              <w:t xml:space="preserve">Date</w:t>
            </w:r>
          </w:p>
        </w:tc>
        <w:tc>
          <w:tcPr>
            <w:tcBorders>
              <w:bottom w:val="single"/>
            </w:tcBorders>
            <w:vAlign w:val="bottom"/>
          </w:tcPr>
          <w:p>
            <w:pPr>
              <w:pStyle w:val="Compact"/>
              <w:jc w:val="left"/>
            </w:pPr>
            <w:r>
              <w:t xml:space="preserve">Description</w:t>
            </w:r>
          </w:p>
        </w:tc>
      </w:tr>
      <w:tr>
        <w:tc>
          <w:p>
            <w:pPr>
              <w:pStyle w:val="Compact"/>
              <w:jc w:val="left"/>
            </w:pPr>
            <w:r>
              <w:t xml:space="preserve">AUDIT_PROGRAM_OVERVIEW.md</w:t>
            </w:r>
          </w:p>
        </w:tc>
        <w:tc>
          <w:p>
            <w:pPr>
              <w:pStyle w:val="Compact"/>
              <w:jc w:val="left"/>
            </w:pPr>
            <w:r>
              <w:t xml:space="preserve">1.0</w:t>
            </w:r>
          </w:p>
        </w:tc>
        <w:tc>
          <w:p>
            <w:pPr>
              <w:pStyle w:val="Compact"/>
              <w:jc w:val="left"/>
            </w:pPr>
            <w:r>
              <w:t xml:space="preserve">Nov 11, 2025</w:t>
            </w:r>
          </w:p>
        </w:tc>
        <w:tc>
          <w:p>
            <w:pPr>
              <w:pStyle w:val="Compact"/>
              <w:jc w:val="left"/>
            </w:pPr>
            <w:r>
              <w:t xml:space="preserve">Initial release</w:t>
            </w:r>
          </w:p>
        </w:tc>
      </w:tr>
      <w:tr>
        <w:tc>
          <w:p>
            <w:pPr>
              <w:pStyle w:val="Compact"/>
              <w:jc w:val="left"/>
            </w:pPr>
            <w:r>
              <w:t xml:space="preserve">FINAL_SPONSOR_AUDIT_CHECKLIST.md</w:t>
            </w:r>
          </w:p>
        </w:tc>
        <w:tc>
          <w:p>
            <w:pPr>
              <w:pStyle w:val="Compact"/>
              <w:jc w:val="left"/>
            </w:pPr>
            <w:r>
              <w:t xml:space="preserve">1.0</w:t>
            </w:r>
          </w:p>
        </w:tc>
        <w:tc>
          <w:p>
            <w:pPr>
              <w:pStyle w:val="Compact"/>
              <w:jc w:val="left"/>
            </w:pPr>
            <w:r>
              <w:t xml:space="preserve">Nov 11, 2025</w:t>
            </w:r>
          </w:p>
        </w:tc>
        <w:tc>
          <w:p>
            <w:pPr>
              <w:pStyle w:val="Compact"/>
              <w:jc w:val="left"/>
            </w:pPr>
            <w:r>
              <w:t xml:space="preserve">Initial release</w:t>
            </w:r>
          </w:p>
        </w:tc>
      </w:tr>
      <w:tr>
        <w:tc>
          <w:p>
            <w:pPr>
              <w:pStyle w:val="Compact"/>
              <w:jc w:val="left"/>
            </w:pPr>
            <w:r>
              <w:t xml:space="preserve">DELIVERABLES_SUMMARY.md</w:t>
            </w:r>
          </w:p>
        </w:tc>
        <w:tc>
          <w:p>
            <w:pPr>
              <w:pStyle w:val="Compact"/>
              <w:jc w:val="left"/>
            </w:pPr>
            <w:r>
              <w:t xml:space="preserve">1.0</w:t>
            </w:r>
          </w:p>
        </w:tc>
        <w:tc>
          <w:p>
            <w:pPr>
              <w:pStyle w:val="Compact"/>
              <w:jc w:val="left"/>
            </w:pPr>
            <w:r>
              <w:t xml:space="preserve">Nov 11, 2025</w:t>
            </w:r>
          </w:p>
        </w:tc>
        <w:tc>
          <w:p>
            <w:pPr>
              <w:pStyle w:val="Compact"/>
              <w:jc w:val="left"/>
            </w:pPr>
            <w:r>
              <w:t xml:space="preserve">Initial release</w:t>
            </w:r>
          </w:p>
        </w:tc>
      </w:tr>
    </w:tbl>
    <w:p>
      <w:r>
        <w:pict>
          <v:rect style="width:0;height:1.5pt" o:hralign="center" o:hrstd="t" o:hr="t"/>
        </w:pict>
      </w:r>
    </w:p>
    <w:p>
      <w:pPr>
        <w:pStyle w:val="FirstParagraph"/>
      </w:pPr>
      <w:r>
        <w:rPr>
          <w:b/>
        </w:rPr>
        <w:t xml:space="preserve">This audit program is designed to be comprehensive and thorough. Tailor it to your specific trial characteristics, organizational structure, and risk profile. The goal is not just to pass FDA inspection, but to ensure the highest standards of clinical trial conduct and participant protection.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2025-11-12T01:16:11Z</dcterms:created>
  <dcterms:modified xsi:type="dcterms:W3CDTF">2025-11-12T01:16:11Z</dcterms:modified>
</cp:coreProperties>
</file>

<file path=docProps/custom.xml><?xml version="1.0" encoding="utf-8"?>
<Properties xmlns="http://schemas.openxmlformats.org/officeDocument/2006/custom-properties" xmlns:vt="http://schemas.openxmlformats.org/officeDocument/2006/docPropsVTypes"/>
</file>